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5C27" w14:textId="4F83EE8A" w:rsidR="00B04162" w:rsidRDefault="00E20AE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 xml:space="preserve">Effects of </w:t>
      </w:r>
      <w:proofErr w:type="spellStart"/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nZVI</w:t>
      </w:r>
      <w:proofErr w:type="spellEnd"/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 xml:space="preserve"> modified biochar and earthworms on the dissipation of sulfamethoxazole, </w:t>
      </w:r>
      <w:r w:rsidR="009F4DF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microbial 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antibiotic resistance genes and microbial community structures in soil</w:t>
      </w:r>
    </w:p>
    <w:p w14:paraId="1EBFC0EF" w14:textId="77777777" w:rsidR="00461E92" w:rsidRDefault="00461E9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F66E283" w14:textId="112A4C5A" w:rsidR="00B04162" w:rsidRDefault="00E20AE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Yuen Zhu</w:t>
      </w:r>
      <w:r>
        <w:rPr>
          <w:rFonts w:ascii="Times New Roman" w:hAnsi="Times New Roman" w:cs="Times New Roman" w:hint="eastAsia"/>
          <w:b/>
          <w:bCs/>
          <w:sz w:val="22"/>
          <w:szCs w:val="22"/>
          <w:vertAlign w:val="superscript"/>
          <w:lang w:val="en-US" w:eastAsia="zh-CN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,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>Y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en-US" w:eastAsia="zh-CN"/>
        </w:rPr>
        <w:t>uanyuan</w:t>
      </w:r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 xml:space="preserve"> Li</w:t>
      </w:r>
      <w:r>
        <w:rPr>
          <w:rFonts w:ascii="Times New Roman" w:hAnsi="Times New Roman" w:cs="Times New Roman" w:hint="eastAsia"/>
          <w:b/>
          <w:bCs/>
          <w:sz w:val="22"/>
          <w:szCs w:val="22"/>
          <w:vertAlign w:val="superscript"/>
          <w:lang w:val="en-US" w:eastAsia="zh-CN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>Jiarui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 xml:space="preserve"> Miao</w:t>
      </w:r>
      <w:r>
        <w:rPr>
          <w:rFonts w:ascii="Times New Roman" w:hAnsi="Times New Roman" w:cs="Times New Roman" w:hint="eastAsia"/>
          <w:b/>
          <w:bCs/>
          <w:sz w:val="22"/>
          <w:szCs w:val="22"/>
          <w:vertAlign w:val="superscript"/>
          <w:lang w:val="en-US" w:eastAsia="zh-CN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>,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>Guixiang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 xml:space="preserve"> Zhang</w:t>
      </w:r>
      <w:r>
        <w:rPr>
          <w:rFonts w:ascii="Times New Roman" w:hAnsi="Times New Roman" w:cs="Times New Roman" w:hint="eastAsia"/>
          <w:b/>
          <w:bCs/>
          <w:sz w:val="22"/>
          <w:szCs w:val="22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>,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>Hua Li</w:t>
      </w:r>
      <w:r>
        <w:rPr>
          <w:rFonts w:ascii="Times New Roman" w:hAnsi="Times New Roman" w:cs="Times New Roman" w:hint="eastAsia"/>
          <w:b/>
          <w:bCs/>
          <w:sz w:val="22"/>
          <w:szCs w:val="22"/>
          <w:vertAlign w:val="superscript"/>
          <w:lang w:val="en-US" w:eastAsia="zh-CN"/>
        </w:rPr>
        <w:t>1</w:t>
      </w:r>
    </w:p>
    <w:p w14:paraId="27BA4BD3" w14:textId="77777777" w:rsidR="00461E92" w:rsidRPr="00461E92" w:rsidRDefault="00461E92">
      <w:pPr>
        <w:jc w:val="center"/>
        <w:rPr>
          <w:rFonts w:ascii="Times New Roman" w:hAnsi="Times New Roman" w:cs="Times New Roman"/>
          <w:sz w:val="22"/>
          <w:szCs w:val="22"/>
          <w:vertAlign w:val="superscript"/>
          <w:lang w:val="en-US" w:eastAsia="zh-CN"/>
        </w:rPr>
      </w:pPr>
    </w:p>
    <w:p w14:paraId="590CAB16" w14:textId="3D59590E" w:rsidR="00B04162" w:rsidRPr="00461E92" w:rsidRDefault="00E31CF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</w:pPr>
      <w:r w:rsidRPr="00461E92">
        <w:rPr>
          <w:rFonts w:ascii="Times New Roman" w:hAnsi="Times New Roman" w:cs="Times New Roman" w:hint="eastAsia"/>
          <w:b/>
          <w:bCs/>
          <w:sz w:val="22"/>
          <w:szCs w:val="22"/>
          <w:vertAlign w:val="superscript"/>
          <w:lang w:val="en-US" w:eastAsia="zh-CN"/>
        </w:rPr>
        <w:t>1</w:t>
      </w:r>
      <w:r w:rsidRPr="00461E9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 w:eastAsia="zh-CN"/>
        </w:rPr>
        <w:t xml:space="preserve"> </w:t>
      </w:r>
      <w:r w:rsidR="00E20AEF" w:rsidRPr="00461E92">
        <w:rPr>
          <w:rFonts w:ascii="Times New Roman" w:hAnsi="Times New Roman" w:cs="Times New Roman" w:hint="eastAsia"/>
          <w:b/>
          <w:bCs/>
          <w:sz w:val="22"/>
          <w:szCs w:val="22"/>
          <w:lang w:val="en-US" w:eastAsia="zh-CN"/>
        </w:rPr>
        <w:t>Shanxi University</w:t>
      </w:r>
      <w:r w:rsidR="00E20AEF" w:rsidRPr="00461E92"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 xml:space="preserve">, Shanxi, China </w:t>
      </w:r>
    </w:p>
    <w:p w14:paraId="560C4056" w14:textId="61862E97" w:rsidR="00B04162" w:rsidRPr="00461E92" w:rsidRDefault="00E31CF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</w:pPr>
      <w:r w:rsidRPr="00461E9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 w:eastAsia="zh-CN"/>
        </w:rPr>
        <w:t>2</w:t>
      </w:r>
      <w:r w:rsidR="00E20AEF" w:rsidRPr="00461E92">
        <w:rPr>
          <w:rFonts w:ascii="Times New Roman" w:hAnsi="Times New Roman" w:cs="Times New Roman" w:hint="eastAsia"/>
          <w:b/>
          <w:bCs/>
          <w:sz w:val="22"/>
          <w:szCs w:val="22"/>
          <w:lang w:val="en-US" w:eastAsia="zh-CN"/>
        </w:rPr>
        <w:t>T</w:t>
      </w:r>
      <w:r w:rsidR="00E20AEF" w:rsidRPr="00461E92"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  <w:t>aiyuan University of Science and Technology, Shanxi, China</w:t>
      </w:r>
    </w:p>
    <w:p w14:paraId="2F0CF8D0" w14:textId="77777777" w:rsidR="00B04162" w:rsidRDefault="00B04162" w:rsidP="00461E92">
      <w:pPr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en-US" w:eastAsia="zh-CN"/>
        </w:rPr>
      </w:pPr>
    </w:p>
    <w:p w14:paraId="1FB207AD" w14:textId="01D13B27" w:rsidR="00B04162" w:rsidRDefault="00E20AEF" w:rsidP="00461E9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BACKGROUND/OBJECTIVES</w:t>
      </w:r>
      <w:r>
        <w:rPr>
          <w:rFonts w:ascii="Times New Roman" w:hAnsi="Times New Roman" w:cs="Times New Roman"/>
          <w:sz w:val="22"/>
          <w:szCs w:val="22"/>
          <w:lang w:val="en-US"/>
        </w:rPr>
        <w:t>: Sulfamethoxazole (SMX) potentially enter</w:t>
      </w:r>
      <w:r w:rsidR="00E31CFC">
        <w:rPr>
          <w:rFonts w:ascii="Times New Roman" w:hAnsi="Times New Roman" w:cs="Times New Roman"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soils due to </w:t>
      </w:r>
      <w:r w:rsidR="00E31CFC">
        <w:rPr>
          <w:rFonts w:ascii="Times New Roman" w:hAnsi="Times New Roman" w:cs="Times New Roman"/>
          <w:sz w:val="22"/>
          <w:szCs w:val="22"/>
          <w:lang w:val="en-US"/>
        </w:rPr>
        <w:t>its high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>er</w:t>
      </w:r>
      <w:r w:rsidR="00E31CFC">
        <w:rPr>
          <w:rFonts w:ascii="Times New Roman" w:hAnsi="Times New Roman" w:cs="Times New Roman"/>
          <w:sz w:val="22"/>
          <w:szCs w:val="22"/>
          <w:lang w:val="en-US"/>
        </w:rPr>
        <w:t xml:space="preserve"> water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solubility,</w:t>
      </w:r>
      <w:r>
        <w:rPr>
          <w:rFonts w:ascii="Times New Roman" w:eastAsia="SimSun" w:hAnsi="Times New Roman" w:cs="Times New Roman" w:hint="eastAsia"/>
          <w:sz w:val="22"/>
          <w:szCs w:val="22"/>
          <w:lang w:val="en-US" w:eastAsia="zh-C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low chelating ability, and low binding constants. The effects of biochar on soil microbial communities are quite </w:t>
      </w:r>
      <w:r w:rsidR="00E31CFC">
        <w:rPr>
          <w:rFonts w:ascii="Times New Roman" w:hAnsi="Times New Roman" w:cs="Times New Roman"/>
          <w:sz w:val="22"/>
          <w:szCs w:val="22"/>
          <w:lang w:val="en-US"/>
        </w:rPr>
        <w:t>significant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for contaminant dissipation in soil. Earthworm modif</w:t>
      </w:r>
      <w:r w:rsidR="00E31CFC">
        <w:rPr>
          <w:rFonts w:ascii="Times New Roman" w:hAnsi="Times New Roman" w:cs="Times New Roman"/>
          <w:sz w:val="22"/>
          <w:szCs w:val="22"/>
          <w:lang w:val="en-US"/>
        </w:rPr>
        <w:t>ies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the composition and activity of soil microorganisms</w:t>
      </w:r>
      <w:r w:rsidR="00E31CFC">
        <w:rPr>
          <w:rFonts w:ascii="Times New Roman" w:hAnsi="Times New Roman" w:cs="Times New Roman"/>
          <w:sz w:val="22"/>
          <w:szCs w:val="22"/>
          <w:lang w:val="en-US"/>
        </w:rPr>
        <w:t xml:space="preserve"> and enhances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the dissipation of contaminants in soil.</w:t>
      </w:r>
    </w:p>
    <w:p w14:paraId="0BDD2F99" w14:textId="77777777" w:rsidR="00B04162" w:rsidRDefault="00B04162" w:rsidP="00461E9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F77B974" w14:textId="29AE13AB" w:rsidR="00B04162" w:rsidRDefault="00E20AEF" w:rsidP="00461E92">
      <w:pPr>
        <w:spacing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en-US" w:eastAsia="zh-CN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METHOD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eastAsia="SimSun" w:hAnsi="Times New Roman" w:cs="Times New Roman"/>
          <w:sz w:val="22"/>
          <w:szCs w:val="22"/>
          <w:lang w:val="en-US" w:eastAsia="zh-CN"/>
        </w:rPr>
        <w:t xml:space="preserve">Established soil incubation experiments to evaluate the effect of </w:t>
      </w:r>
      <w:proofErr w:type="spellStart"/>
      <w:r>
        <w:rPr>
          <w:rFonts w:ascii="Times New Roman" w:eastAsia="SimSun" w:hAnsi="Times New Roman" w:cs="Times New Roman"/>
          <w:sz w:val="22"/>
          <w:szCs w:val="22"/>
          <w:lang w:val="en-US" w:eastAsia="zh-CN"/>
        </w:rPr>
        <w:t>nZVI</w:t>
      </w:r>
      <w:proofErr w:type="spellEnd"/>
      <w:r>
        <w:rPr>
          <w:rFonts w:ascii="Times New Roman" w:eastAsia="SimSun" w:hAnsi="Times New Roman" w:cs="Times New Roman"/>
          <w:sz w:val="22"/>
          <w:szCs w:val="22"/>
          <w:lang w:val="en-US" w:eastAsia="zh-CN"/>
        </w:rPr>
        <w:t xml:space="preserve"> modified biochar and its interaction with earthworm on the dissipation of SMX, corresponding </w:t>
      </w:r>
      <w:r w:rsidR="009F4DF2">
        <w:rPr>
          <w:rFonts w:ascii="Times New Roman" w:eastAsia="SimSun" w:hAnsi="Times New Roman" w:cs="Times New Roman"/>
          <w:sz w:val="22"/>
          <w:szCs w:val="22"/>
          <w:lang w:val="en-US" w:eastAsia="zh-CN"/>
        </w:rPr>
        <w:t xml:space="preserve">microbial </w:t>
      </w:r>
      <w:r w:rsidR="00E31CFC" w:rsidRPr="00E31CFC">
        <w:rPr>
          <w:rFonts w:ascii="Times New Roman" w:hAnsi="Times New Roman" w:cs="Times New Roman" w:hint="eastAsia"/>
          <w:sz w:val="22"/>
          <w:szCs w:val="22"/>
          <w:lang w:val="en-US"/>
        </w:rPr>
        <w:t>antibiotic resistance genes</w:t>
      </w:r>
      <w:r w:rsidR="00E31CFC">
        <w:rPr>
          <w:rFonts w:ascii="Times New Roman" w:eastAsia="SimSun" w:hAnsi="Times New Roman" w:cs="Times New Roman"/>
          <w:sz w:val="22"/>
          <w:szCs w:val="22"/>
          <w:lang w:val="en-US" w:eastAsia="zh-CN"/>
        </w:rPr>
        <w:t xml:space="preserve"> (</w:t>
      </w:r>
      <w:r>
        <w:rPr>
          <w:rFonts w:ascii="Times New Roman" w:eastAsia="SimSun" w:hAnsi="Times New Roman" w:cs="Times New Roman"/>
          <w:sz w:val="22"/>
          <w:szCs w:val="22"/>
          <w:lang w:val="en-US" w:eastAsia="zh-CN"/>
        </w:rPr>
        <w:t>ARGs</w:t>
      </w:r>
      <w:r w:rsidR="00E31CFC">
        <w:rPr>
          <w:rFonts w:ascii="Times New Roman" w:eastAsia="SimSun" w:hAnsi="Times New Roman" w:cs="Times New Roman"/>
          <w:sz w:val="22"/>
          <w:szCs w:val="22"/>
          <w:lang w:val="en-US" w:eastAsia="zh-CN"/>
        </w:rPr>
        <w:t>)</w:t>
      </w:r>
      <w:r>
        <w:rPr>
          <w:rFonts w:ascii="Times New Roman" w:eastAsia="SimSun" w:hAnsi="Times New Roman" w:cs="Times New Roman"/>
          <w:sz w:val="22"/>
          <w:szCs w:val="22"/>
          <w:lang w:val="en-US" w:eastAsia="zh-CN"/>
        </w:rPr>
        <w:t>, as well as microbial community structures.</w:t>
      </w:r>
    </w:p>
    <w:p w14:paraId="6F126BCF" w14:textId="77777777" w:rsidR="00B04162" w:rsidRDefault="00B04162" w:rsidP="00461E9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0BEC7C8" w14:textId="7B5CD248" w:rsidR="00B04162" w:rsidRDefault="00E20AEF" w:rsidP="00461E92">
      <w:pPr>
        <w:spacing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en-US" w:eastAsia="zh-CN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RESULTS</w:t>
      </w:r>
      <w:r>
        <w:rPr>
          <w:rFonts w:ascii="Times New Roman" w:hAnsi="Times New Roman" w:cs="Times New Roman"/>
          <w:sz w:val="22"/>
          <w:szCs w:val="22"/>
          <w:lang w:val="en-US"/>
        </w:rPr>
        <w:t>:</w:t>
      </w:r>
      <w:bookmarkStart w:id="0" w:name="OLE_LINK5"/>
      <w:r w:rsidR="0011294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The addition of earthworm in the SMX-contaminated soil significantly reduced the abundance of SMX by 50.93%-78.36% in soils, 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 xml:space="preserve">it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reach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>ed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to 81.66% in </w:t>
      </w:r>
      <w:proofErr w:type="spellStart"/>
      <w:r>
        <w:rPr>
          <w:rFonts w:ascii="Times New Roman" w:hAnsi="Times New Roman" w:cs="Times New Roman" w:hint="eastAsia"/>
          <w:sz w:val="22"/>
          <w:szCs w:val="22"/>
          <w:lang w:val="en-US"/>
        </w:rPr>
        <w:t>nZVI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modified biochar treated soils. The addition of earthworm significantly increased the 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>expression of th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e ARGs 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 xml:space="preserve">such as the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intI1</w:t>
      </w:r>
      <w:r>
        <w:rPr>
          <w:rFonts w:ascii="Times New Roman" w:eastAsia="SimSun" w:hAnsi="Times New Roman" w:cs="Times New Roman" w:hint="eastAsia"/>
          <w:sz w:val="22"/>
          <w:szCs w:val="22"/>
          <w:lang w:val="en-US" w:eastAsia="zh-CN"/>
        </w:rPr>
        <w:t xml:space="preserve"> </w:t>
      </w:r>
      <w:r w:rsidR="00112940">
        <w:rPr>
          <w:rFonts w:ascii="Times New Roman" w:eastAsia="SimSun" w:hAnsi="Times New Roman" w:cs="Times New Roman"/>
          <w:sz w:val="22"/>
          <w:szCs w:val="22"/>
          <w:lang w:val="en-US" w:eastAsia="zh-CN"/>
        </w:rPr>
        <w:t xml:space="preserve">gene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in soil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>The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  <w:lang w:val="en-US"/>
        </w:rPr>
        <w:t>nZVI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modified biochar significantly reduced the 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 xml:space="preserve">expression of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the ARGs and 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 xml:space="preserve">the abundance of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earthworm</w:t>
      </w:r>
      <w:r w:rsidR="00112940">
        <w:rPr>
          <w:rFonts w:ascii="Times New Roman" w:hAnsi="Times New Roman" w:cs="Times New Roman"/>
          <w:sz w:val="22"/>
          <w:szCs w:val="22"/>
          <w:lang w:val="en-US"/>
        </w:rPr>
        <w:t xml:space="preserve"> in soil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.</w:t>
      </w:r>
    </w:p>
    <w:bookmarkEnd w:id="0"/>
    <w:p w14:paraId="22030692" w14:textId="77777777" w:rsidR="00B04162" w:rsidRPr="009F4DF2" w:rsidRDefault="00E20AEF" w:rsidP="00461E92">
      <w:pPr>
        <w:spacing w:line="276" w:lineRule="auto"/>
        <w:jc w:val="center"/>
      </w:pPr>
      <w:r>
        <w:rPr>
          <w:noProof/>
        </w:rPr>
        <w:drawing>
          <wp:inline distT="0" distB="0" distL="114300" distR="114300" wp14:anchorId="7B5E127C" wp14:editId="62F81D26">
            <wp:extent cx="1775460" cy="13131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>
        <w:rPr>
          <w:noProof/>
        </w:rPr>
        <w:drawing>
          <wp:inline distT="0" distB="0" distL="114300" distR="114300" wp14:anchorId="63832F9E" wp14:editId="3AC6A10E">
            <wp:extent cx="1814830" cy="13449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11D7C10" wp14:editId="132D53D2">
            <wp:extent cx="1819275" cy="1338580"/>
            <wp:effectExtent l="0" t="0" r="190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91FCA61" w14:textId="16355E7E" w:rsidR="00B04162" w:rsidRDefault="00E20AEF" w:rsidP="00461E9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Fig.1 The effects of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nZVI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modified biochar and earthworm on the concentrations of SMX in soil.</w:t>
      </w:r>
    </w:p>
    <w:p w14:paraId="03A3E60D" w14:textId="77777777" w:rsidR="00B04162" w:rsidRDefault="00B04162" w:rsidP="00461E9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41BD2909" w14:textId="1FA4D738" w:rsidR="00B04162" w:rsidRDefault="00E20AEF" w:rsidP="00461E9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CONCLUSION/IMPLICATION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: The </w:t>
      </w:r>
      <w:proofErr w:type="spellStart"/>
      <w:r>
        <w:rPr>
          <w:rFonts w:ascii="Times New Roman" w:hAnsi="Times New Roman" w:cs="Times New Roman" w:hint="eastAsia"/>
          <w:sz w:val="22"/>
          <w:szCs w:val="22"/>
          <w:lang w:val="en-US"/>
        </w:rPr>
        <w:t>nZVI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modified biochar and earthworm could separately or interactively accelerate the SMX dissipation in soil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Treatment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of soil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with </w:t>
      </w:r>
      <w:proofErr w:type="spellStart"/>
      <w:r>
        <w:rPr>
          <w:rFonts w:ascii="Times New Roman" w:hAnsi="Times New Roman" w:cs="Times New Roman" w:hint="eastAsia"/>
          <w:sz w:val="22"/>
          <w:szCs w:val="22"/>
          <w:lang w:val="en-US"/>
        </w:rPr>
        <w:t>nZVI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modified biochar and earthworm en</w:t>
      </w:r>
      <w:r>
        <w:rPr>
          <w:rFonts w:ascii="Times New Roman" w:hAnsi="Times New Roman" w:cs="Times New Roman"/>
          <w:sz w:val="22"/>
          <w:szCs w:val="22"/>
          <w:lang w:val="en-US"/>
        </w:rPr>
        <w:t>riched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microbial community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associated with SMX degradation in soil.</w:t>
      </w:r>
    </w:p>
    <w:p w14:paraId="64FD8E35" w14:textId="2BE16B9A" w:rsidR="00B04162" w:rsidRDefault="00B04162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sectPr w:rsidR="00B04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5CB"/>
    <w:multiLevelType w:val="multilevel"/>
    <w:tmpl w:val="41DF45CB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65D"/>
    <w:multiLevelType w:val="multilevel"/>
    <w:tmpl w:val="7186765D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7F"/>
    <w:rsid w:val="00112940"/>
    <w:rsid w:val="00461E92"/>
    <w:rsid w:val="0048319B"/>
    <w:rsid w:val="00680D5D"/>
    <w:rsid w:val="009F4DF2"/>
    <w:rsid w:val="00A22FC6"/>
    <w:rsid w:val="00B04162"/>
    <w:rsid w:val="00D56F9E"/>
    <w:rsid w:val="00D9682A"/>
    <w:rsid w:val="00DD4F7F"/>
    <w:rsid w:val="00E20AEF"/>
    <w:rsid w:val="00E31CFC"/>
    <w:rsid w:val="00F36D28"/>
    <w:rsid w:val="15894A03"/>
    <w:rsid w:val="3F9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35413"/>
  <w15:docId w15:val="{30036D67-1AF8-4373-8447-B74B21D7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1">
    <w:name w:val="列表段落1"/>
    <w:basedOn w:val="Normal"/>
    <w:qFormat/>
    <w:pPr>
      <w:ind w:left="720"/>
      <w:contextualSpacing/>
    </w:pPr>
    <w:rPr>
      <w:rFonts w:ascii="Times New Roman" w:eastAsia="Cambr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Varga</dc:creator>
  <cp:lastModifiedBy>Brenda Magajna</cp:lastModifiedBy>
  <cp:revision>4</cp:revision>
  <dcterms:created xsi:type="dcterms:W3CDTF">2021-07-26T15:25:00Z</dcterms:created>
  <dcterms:modified xsi:type="dcterms:W3CDTF">2021-07-26T15:27:00Z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32C809C725F64A9EB3ADE9F300568E3F</vt:lpwstr>
  </property>
</Properties>
</file>