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C64C" w14:textId="79D3D816" w:rsidR="00B85786" w:rsidRPr="00964551" w:rsidRDefault="00B85786" w:rsidP="00B8578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64551">
        <w:rPr>
          <w:rFonts w:ascii="Times New Roman" w:hAnsi="Times New Roman" w:cs="Times New Roman"/>
          <w:b/>
          <w:bCs/>
          <w:lang w:val="en-US"/>
        </w:rPr>
        <w:t>Static Measures of Prosthetic Shoe Material</w:t>
      </w:r>
      <w:r w:rsidR="00745E23">
        <w:rPr>
          <w:rFonts w:ascii="Times New Roman" w:hAnsi="Times New Roman" w:cs="Times New Roman"/>
          <w:b/>
          <w:bCs/>
          <w:lang w:val="en-US"/>
        </w:rPr>
        <w:t>s</w:t>
      </w:r>
      <w:r w:rsidRPr="0096455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45E23">
        <w:rPr>
          <w:rFonts w:ascii="Times New Roman" w:hAnsi="Times New Roman" w:cs="Times New Roman"/>
          <w:b/>
          <w:bCs/>
          <w:lang w:val="en-US"/>
        </w:rPr>
        <w:t>for Transtibial Amputees</w:t>
      </w:r>
    </w:p>
    <w:p w14:paraId="524A0263" w14:textId="77777777" w:rsidR="00B85786" w:rsidRPr="00964551" w:rsidRDefault="00B85786" w:rsidP="00B85786">
      <w:pPr>
        <w:rPr>
          <w:rFonts w:ascii="Times New Roman" w:hAnsi="Times New Roman" w:cs="Times New Roman"/>
          <w:lang w:val="en-US"/>
        </w:rPr>
      </w:pPr>
    </w:p>
    <w:p w14:paraId="7C4A7351" w14:textId="0CC2B110" w:rsidR="00B85786" w:rsidRPr="00ED74BF" w:rsidRDefault="00B85786" w:rsidP="00B8578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964551">
        <w:rPr>
          <w:rFonts w:ascii="Times New Roman" w:hAnsi="Times New Roman" w:cs="Times New Roman"/>
          <w:b/>
          <w:bCs/>
          <w:lang w:val="en-US"/>
        </w:rPr>
        <w:t>Celia Berry</w:t>
      </w:r>
      <w:r w:rsidRPr="00964551">
        <w:rPr>
          <w:rFonts w:ascii="Times New Roman" w:hAnsi="Times New Roman" w:cs="Times New Roman"/>
          <w:b/>
          <w:bCs/>
          <w:vertAlign w:val="superscript"/>
          <w:lang w:val="en-US"/>
        </w:rPr>
        <w:t>1</w:t>
      </w:r>
      <w:r w:rsidRPr="00964551">
        <w:rPr>
          <w:rFonts w:ascii="Times New Roman" w:hAnsi="Times New Roman" w:cs="Times New Roman"/>
          <w:b/>
          <w:bCs/>
          <w:lang w:val="en-US"/>
        </w:rPr>
        <w:t>,</w:t>
      </w:r>
      <w:r w:rsidR="00840697" w:rsidRPr="0084069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40697" w:rsidRPr="00964551">
        <w:rPr>
          <w:rFonts w:ascii="Times New Roman" w:hAnsi="Times New Roman" w:cs="Times New Roman"/>
          <w:b/>
          <w:bCs/>
          <w:lang w:val="en-US"/>
        </w:rPr>
        <w:t>Meilan Liu, PhD.</w:t>
      </w:r>
      <w:r w:rsidR="00840697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="00840697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ED74BF">
        <w:rPr>
          <w:rFonts w:ascii="Times New Roman" w:hAnsi="Times New Roman" w:cs="Times New Roman"/>
          <w:b/>
          <w:bCs/>
          <w:lang w:val="es-CO"/>
        </w:rPr>
        <w:t>Carlos Zerpa, PhD.</w:t>
      </w:r>
      <w:r w:rsidR="00840697">
        <w:rPr>
          <w:rFonts w:ascii="Times New Roman" w:hAnsi="Times New Roman" w:cs="Times New Roman"/>
          <w:b/>
          <w:bCs/>
          <w:vertAlign w:val="superscript"/>
          <w:lang w:val="es-CO"/>
        </w:rPr>
        <w:t>3</w:t>
      </w:r>
    </w:p>
    <w:p w14:paraId="4F36E515" w14:textId="77777777" w:rsidR="00B85786" w:rsidRPr="00ED74BF" w:rsidRDefault="00B85786" w:rsidP="0096455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s-CO"/>
        </w:rPr>
      </w:pPr>
    </w:p>
    <w:p w14:paraId="07FF3DCF" w14:textId="3AE06B43" w:rsidR="00B85786" w:rsidRPr="00964551" w:rsidRDefault="00B85786" w:rsidP="0096455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64551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US"/>
        </w:rPr>
        <w:t>1</w:t>
      </w:r>
      <w:r w:rsidR="00174419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US"/>
        </w:rPr>
        <w:t>,</w:t>
      </w:r>
      <w:r w:rsidR="00D21C17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US"/>
        </w:rPr>
        <w:t>3</w:t>
      </w:r>
      <w:r w:rsidR="00174419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US"/>
        </w:rPr>
        <w:t xml:space="preserve"> </w:t>
      </w:r>
      <w:r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>School of Kinesiology, Lakehead University, Ontario, Canada</w:t>
      </w:r>
    </w:p>
    <w:p w14:paraId="55779568" w14:textId="4E7FC5BA" w:rsidR="00B85786" w:rsidRPr="00964551" w:rsidRDefault="00D21C17" w:rsidP="0096455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US"/>
        </w:rPr>
        <w:t>2</w:t>
      </w:r>
      <w:r w:rsidR="00B85786"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>Department of Mechanical Engineering, Lakehead University, Ontario, Canada</w:t>
      </w:r>
    </w:p>
    <w:p w14:paraId="3277D3A2" w14:textId="77777777" w:rsidR="00B85786" w:rsidRPr="00964551" w:rsidRDefault="00B85786" w:rsidP="00964551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B147349" w14:textId="2995327F" w:rsidR="000C6B5B" w:rsidRPr="00ED74BF" w:rsidRDefault="00B85786" w:rsidP="00964551">
      <w:pPr>
        <w:rPr>
          <w:rFonts w:ascii="Times New Roman" w:hAnsi="Times New Roman" w:cs="Times New Roman"/>
          <w:color w:val="000000" w:themeColor="text1"/>
          <w:lang w:val="en-US"/>
        </w:rPr>
      </w:pPr>
      <w:r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>BACKGROUND/OBJECTIVES:</w:t>
      </w:r>
      <w:r w:rsidR="00764262"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174419">
        <w:rPr>
          <w:rFonts w:ascii="Times New Roman" w:hAnsi="Times New Roman" w:cs="Times New Roman"/>
          <w:color w:val="000000" w:themeColor="text1"/>
          <w:lang w:val="en-US"/>
        </w:rPr>
        <w:t xml:space="preserve">Patients with </w:t>
      </w:r>
      <w:r w:rsidR="00FD1058">
        <w:rPr>
          <w:rFonts w:ascii="Times New Roman" w:hAnsi="Times New Roman" w:cs="Times New Roman"/>
          <w:color w:val="000000" w:themeColor="text1"/>
          <w:lang w:val="en-US"/>
        </w:rPr>
        <w:t>lower limb</w:t>
      </w:r>
      <w:r w:rsidR="001744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45E23">
        <w:rPr>
          <w:rFonts w:ascii="Times New Roman" w:hAnsi="Times New Roman" w:cs="Times New Roman"/>
          <w:color w:val="000000" w:themeColor="text1"/>
          <w:lang w:val="en-US"/>
        </w:rPr>
        <w:t xml:space="preserve">transtibial </w:t>
      </w:r>
      <w:r w:rsidR="00174419">
        <w:rPr>
          <w:rFonts w:ascii="Times New Roman" w:hAnsi="Times New Roman" w:cs="Times New Roman"/>
          <w:color w:val="000000" w:themeColor="text1"/>
          <w:lang w:val="en-US"/>
        </w:rPr>
        <w:t>amputations frequently report</w:t>
      </w:r>
      <w:r w:rsidR="00D21C17">
        <w:rPr>
          <w:rFonts w:ascii="Times New Roman" w:hAnsi="Times New Roman" w:cs="Times New Roman"/>
          <w:color w:val="000000" w:themeColor="text1"/>
          <w:lang w:val="en-US"/>
        </w:rPr>
        <w:t xml:space="preserve"> lower limb and back</w:t>
      </w:r>
      <w:r w:rsidR="00174419">
        <w:rPr>
          <w:rFonts w:ascii="Times New Roman" w:hAnsi="Times New Roman" w:cs="Times New Roman"/>
          <w:color w:val="000000" w:themeColor="text1"/>
          <w:lang w:val="en-US"/>
        </w:rPr>
        <w:t xml:space="preserve"> pain </w:t>
      </w:r>
      <w:r w:rsidR="00D21C17">
        <w:rPr>
          <w:rFonts w:ascii="Times New Roman" w:hAnsi="Times New Roman" w:cs="Times New Roman"/>
          <w:color w:val="000000" w:themeColor="text1"/>
          <w:lang w:val="en-US"/>
        </w:rPr>
        <w:t xml:space="preserve">with </w:t>
      </w:r>
      <w:r w:rsidR="00174419">
        <w:rPr>
          <w:rFonts w:ascii="Times New Roman" w:hAnsi="Times New Roman" w:cs="Times New Roman"/>
          <w:color w:val="000000" w:themeColor="text1"/>
          <w:lang w:val="en-US"/>
        </w:rPr>
        <w:t>the use of</w:t>
      </w:r>
      <w:r w:rsidR="00FD10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E630C" w:rsidRPr="00F73CF7">
        <w:rPr>
          <w:rFonts w:ascii="Times New Roman" w:hAnsi="Times New Roman" w:cs="Times New Roman"/>
          <w:color w:val="000000" w:themeColor="text1"/>
          <w:lang w:val="en-US"/>
        </w:rPr>
        <w:t>prosthetic</w:t>
      </w:r>
      <w:r w:rsidR="00FD1058">
        <w:rPr>
          <w:rFonts w:ascii="Times New Roman" w:hAnsi="Times New Roman" w:cs="Times New Roman"/>
          <w:color w:val="000000" w:themeColor="text1"/>
          <w:lang w:val="en-US"/>
        </w:rPr>
        <w:t xml:space="preserve"> devices</w:t>
      </w:r>
      <w:r w:rsidR="00174419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0E630C" w:rsidRPr="00F73CF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45E23">
        <w:rPr>
          <w:rFonts w:ascii="Times New Roman" w:hAnsi="Times New Roman" w:cs="Times New Roman"/>
          <w:color w:val="000000" w:themeColor="text1"/>
          <w:lang w:val="en-US"/>
        </w:rPr>
        <w:t>The increase</w:t>
      </w:r>
      <w:r w:rsidR="007B057C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745E23">
        <w:rPr>
          <w:rFonts w:ascii="Times New Roman" w:hAnsi="Times New Roman" w:cs="Times New Roman"/>
          <w:color w:val="000000" w:themeColor="text1"/>
          <w:lang w:val="en-US"/>
        </w:rPr>
        <w:t xml:space="preserve"> transient forces produced by the prosthetic device during walking puts these patients at a high risk </w:t>
      </w:r>
      <w:r w:rsidR="000E630C" w:rsidRPr="00F73CF7">
        <w:rPr>
          <w:rFonts w:ascii="Times New Roman" w:hAnsi="Times New Roman" w:cs="Times New Roman"/>
          <w:color w:val="000000" w:themeColor="text1"/>
          <w:lang w:val="en-US"/>
        </w:rPr>
        <w:t>of developing degenerative joint conditions in the knees, hips</w:t>
      </w:r>
      <w:r w:rsidR="00ED74B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0E630C" w:rsidRPr="00F73CF7">
        <w:rPr>
          <w:rFonts w:ascii="Times New Roman" w:hAnsi="Times New Roman" w:cs="Times New Roman"/>
          <w:color w:val="000000" w:themeColor="text1"/>
          <w:lang w:val="en-US"/>
        </w:rPr>
        <w:t xml:space="preserve"> and lower back. </w:t>
      </w:r>
      <w:r w:rsidR="00113413" w:rsidRPr="00964551">
        <w:rPr>
          <w:rFonts w:ascii="Times New Roman" w:hAnsi="Times New Roman" w:cs="Times New Roman"/>
          <w:color w:val="000000" w:themeColor="text1"/>
        </w:rPr>
        <w:t>Commercially available shock-absorbing insoles show promising evidence in reducing these forces; however, they are not currently recommended for transtibial amputees due to the high degree of compression leading to feelings of instability. This</w:t>
      </w:r>
      <w:r w:rsidR="00745E23">
        <w:rPr>
          <w:rFonts w:ascii="Times New Roman" w:hAnsi="Times New Roman" w:cs="Times New Roman"/>
          <w:color w:val="000000" w:themeColor="text1"/>
        </w:rPr>
        <w:t xml:space="preserve"> concern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 highlights the need for innovative</w:t>
      </w:r>
      <w:r w:rsidR="00605DBF">
        <w:rPr>
          <w:rFonts w:ascii="Times New Roman" w:hAnsi="Times New Roman" w:cs="Times New Roman"/>
          <w:color w:val="000000" w:themeColor="text1"/>
        </w:rPr>
        <w:t xml:space="preserve">, </w:t>
      </w:r>
      <w:r w:rsidR="00605DBF" w:rsidRPr="00964551">
        <w:rPr>
          <w:rFonts w:ascii="Times New Roman" w:hAnsi="Times New Roman" w:cs="Times New Roman"/>
          <w:color w:val="000000" w:themeColor="text1"/>
        </w:rPr>
        <w:t>low</w:t>
      </w:r>
      <w:r w:rsidR="00605DBF">
        <w:rPr>
          <w:rFonts w:ascii="Times New Roman" w:hAnsi="Times New Roman" w:cs="Times New Roman"/>
          <w:color w:val="000000" w:themeColor="text1"/>
        </w:rPr>
        <w:t>-</w:t>
      </w:r>
      <w:r w:rsidR="00605DBF" w:rsidRPr="00964551">
        <w:rPr>
          <w:rFonts w:ascii="Times New Roman" w:hAnsi="Times New Roman" w:cs="Times New Roman"/>
          <w:color w:val="000000" w:themeColor="text1"/>
        </w:rPr>
        <w:t>cost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 solutions </w:t>
      </w:r>
      <w:r w:rsidR="00745E23">
        <w:rPr>
          <w:rFonts w:ascii="Times New Roman" w:hAnsi="Times New Roman" w:cs="Times New Roman"/>
          <w:color w:val="000000" w:themeColor="text1"/>
        </w:rPr>
        <w:t>to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 improve the functional outcomes of passive prosthetic devices by mitigating pain and</w:t>
      </w:r>
      <w:r w:rsidR="00F73CF7" w:rsidRPr="00F73CF7">
        <w:rPr>
          <w:rFonts w:ascii="Times New Roman" w:hAnsi="Times New Roman" w:cs="Times New Roman"/>
          <w:color w:val="000000" w:themeColor="text1"/>
        </w:rPr>
        <w:t xml:space="preserve"> </w:t>
      </w:r>
      <w:r w:rsidR="00F73CF7">
        <w:rPr>
          <w:rFonts w:ascii="Times New Roman" w:hAnsi="Times New Roman" w:cs="Times New Roman"/>
          <w:color w:val="000000" w:themeColor="text1"/>
        </w:rPr>
        <w:t xml:space="preserve">the </w:t>
      </w:r>
      <w:r w:rsidR="00F73CF7" w:rsidRPr="00964551">
        <w:rPr>
          <w:rFonts w:ascii="Times New Roman" w:hAnsi="Times New Roman" w:cs="Times New Roman"/>
          <w:color w:val="000000" w:themeColor="text1"/>
        </w:rPr>
        <w:t>risk of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 injury. </w:t>
      </w:r>
      <w:r w:rsidR="00113413" w:rsidRPr="008A1228">
        <w:rPr>
          <w:rFonts w:ascii="Times New Roman" w:hAnsi="Times New Roman" w:cs="Times New Roman"/>
          <w:color w:val="000000" w:themeColor="text1"/>
        </w:rPr>
        <w:t>Thermoplastic polyurethane (TPU)</w:t>
      </w:r>
      <w:r w:rsidR="00F73CF7" w:rsidRPr="008A1228">
        <w:rPr>
          <w:rFonts w:ascii="Times New Roman" w:hAnsi="Times New Roman" w:cs="Times New Roman"/>
          <w:color w:val="000000" w:themeColor="text1"/>
        </w:rPr>
        <w:t xml:space="preserve"> material shows a promising use </w:t>
      </w:r>
      <w:r w:rsidR="008A1228" w:rsidRPr="008A1228">
        <w:rPr>
          <w:rFonts w:ascii="Times New Roman" w:hAnsi="Times New Roman" w:cs="Times New Roman"/>
          <w:color w:val="000000" w:themeColor="text1"/>
        </w:rPr>
        <w:t xml:space="preserve">as </w:t>
      </w:r>
      <w:r w:rsidR="00605DBF">
        <w:rPr>
          <w:rFonts w:ascii="Times New Roman" w:hAnsi="Times New Roman" w:cs="Times New Roman"/>
          <w:color w:val="000000" w:themeColor="text1"/>
        </w:rPr>
        <w:t xml:space="preserve">insole or heel </w:t>
      </w:r>
      <w:r w:rsidR="008A1228" w:rsidRPr="008A1228">
        <w:rPr>
          <w:rFonts w:ascii="Times New Roman" w:hAnsi="Times New Roman" w:cs="Times New Roman"/>
          <w:color w:val="000000" w:themeColor="text1"/>
        </w:rPr>
        <w:t>material for this population due to its shock-absorbing capabilities</w:t>
      </w:r>
      <w:r w:rsidR="00113413" w:rsidRPr="008A1228">
        <w:rPr>
          <w:rFonts w:ascii="Times New Roman" w:hAnsi="Times New Roman" w:cs="Times New Roman"/>
          <w:color w:val="000000" w:themeColor="text1"/>
        </w:rPr>
        <w:t xml:space="preserve">. </w:t>
      </w:r>
      <w:r w:rsidR="00113413" w:rsidRPr="00964551">
        <w:rPr>
          <w:rFonts w:ascii="Times New Roman" w:hAnsi="Times New Roman" w:cs="Times New Roman"/>
          <w:color w:val="000000" w:themeColor="text1"/>
        </w:rPr>
        <w:t>The p</w:t>
      </w:r>
      <w:r w:rsidR="000C6B5B" w:rsidRPr="00964551">
        <w:rPr>
          <w:rFonts w:ascii="Times New Roman" w:hAnsi="Times New Roman" w:cs="Times New Roman"/>
          <w:color w:val="000000" w:themeColor="text1"/>
        </w:rPr>
        <w:t>urpose of this research was to analyze the material properties of TPU</w:t>
      </w:r>
      <w:r w:rsidR="008A1228">
        <w:rPr>
          <w:rFonts w:ascii="Times New Roman" w:hAnsi="Times New Roman" w:cs="Times New Roman"/>
          <w:color w:val="000000" w:themeColor="text1"/>
        </w:rPr>
        <w:t xml:space="preserve"> and conventional prosthetic shoe materials</w:t>
      </w:r>
      <w:r w:rsidR="000C6B5B" w:rsidRPr="00964551">
        <w:rPr>
          <w:rFonts w:ascii="Times New Roman" w:hAnsi="Times New Roman" w:cs="Times New Roman"/>
          <w:color w:val="000000" w:themeColor="text1"/>
        </w:rPr>
        <w:t xml:space="preserve"> by statically testing the energy absorption capa</w:t>
      </w:r>
      <w:r w:rsidR="008A1228">
        <w:rPr>
          <w:rFonts w:ascii="Times New Roman" w:hAnsi="Times New Roman" w:cs="Times New Roman"/>
          <w:color w:val="000000" w:themeColor="text1"/>
        </w:rPr>
        <w:t xml:space="preserve">bilities </w:t>
      </w:r>
      <w:r w:rsidR="000C6B5B" w:rsidRPr="00964551">
        <w:rPr>
          <w:rFonts w:ascii="Times New Roman" w:hAnsi="Times New Roman" w:cs="Times New Roman"/>
          <w:color w:val="000000" w:themeColor="text1"/>
        </w:rPr>
        <w:t xml:space="preserve">of </w:t>
      </w:r>
      <w:r w:rsidR="008A1228">
        <w:rPr>
          <w:rFonts w:ascii="Times New Roman" w:hAnsi="Times New Roman" w:cs="Times New Roman"/>
          <w:color w:val="000000" w:themeColor="text1"/>
        </w:rPr>
        <w:t>each material.</w:t>
      </w:r>
    </w:p>
    <w:p w14:paraId="78499AD6" w14:textId="3AC5F9FB" w:rsidR="00913248" w:rsidRPr="00964551" w:rsidRDefault="00913248" w:rsidP="00964551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517EE13" w14:textId="6075F1C7" w:rsidR="00B4034D" w:rsidRPr="00964551" w:rsidRDefault="00913248" w:rsidP="00964551">
      <w:pPr>
        <w:rPr>
          <w:rFonts w:ascii="Times New Roman" w:hAnsi="Times New Roman" w:cs="Times New Roman"/>
          <w:color w:val="000000" w:themeColor="text1"/>
        </w:rPr>
      </w:pPr>
      <w:r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METHOD: </w:t>
      </w:r>
      <w:r w:rsidR="00113413" w:rsidRPr="00964551">
        <w:rPr>
          <w:rFonts w:ascii="Times New Roman" w:hAnsi="Times New Roman" w:cs="Times New Roman"/>
          <w:color w:val="000000" w:themeColor="text1"/>
        </w:rPr>
        <w:t>S</w:t>
      </w:r>
      <w:r w:rsidR="00605DBF">
        <w:rPr>
          <w:rFonts w:ascii="Times New Roman" w:hAnsi="Times New Roman" w:cs="Times New Roman"/>
          <w:color w:val="000000" w:themeColor="text1"/>
        </w:rPr>
        <w:t>everal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 ma</w:t>
      </w:r>
      <w:r w:rsidR="000C6B5B" w:rsidRPr="00964551">
        <w:rPr>
          <w:rFonts w:ascii="Times New Roman" w:hAnsi="Times New Roman" w:cs="Times New Roman"/>
          <w:color w:val="000000" w:themeColor="text1"/>
        </w:rPr>
        <w:t>terial</w:t>
      </w:r>
      <w:r w:rsidR="00605DBF">
        <w:rPr>
          <w:rFonts w:ascii="Times New Roman" w:hAnsi="Times New Roman" w:cs="Times New Roman"/>
          <w:color w:val="000000" w:themeColor="text1"/>
        </w:rPr>
        <w:t>s</w:t>
      </w:r>
      <w:r w:rsidR="000C6B5B" w:rsidRPr="00964551">
        <w:rPr>
          <w:rFonts w:ascii="Times New Roman" w:hAnsi="Times New Roman" w:cs="Times New Roman"/>
          <w:color w:val="000000" w:themeColor="text1"/>
        </w:rPr>
        <w:t xml:space="preserve"> underwent static compression testing 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using a Chatillon force tester and AMTI force plates </w:t>
      </w:r>
      <w:r w:rsidR="000C6B5B" w:rsidRPr="00964551">
        <w:rPr>
          <w:rFonts w:ascii="Times New Roman" w:hAnsi="Times New Roman" w:cs="Times New Roman"/>
          <w:color w:val="000000" w:themeColor="text1"/>
        </w:rPr>
        <w:t>to analyze the energy absorption capabilities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. </w:t>
      </w:r>
      <w:r w:rsidR="000C6B5B" w:rsidRPr="00964551">
        <w:rPr>
          <w:rFonts w:ascii="Times New Roman" w:hAnsi="Times New Roman" w:cs="Times New Roman"/>
          <w:color w:val="000000" w:themeColor="text1"/>
        </w:rPr>
        <w:t>The samples tested included TPU material arranged to form a heel lift</w:t>
      </w:r>
      <w:r w:rsidR="008A1228">
        <w:rPr>
          <w:rFonts w:ascii="Times New Roman" w:hAnsi="Times New Roman" w:cs="Times New Roman"/>
          <w:color w:val="000000" w:themeColor="text1"/>
        </w:rPr>
        <w:t xml:space="preserve"> or thin insole</w:t>
      </w:r>
      <w:r w:rsidR="000C6B5B" w:rsidRPr="00964551">
        <w:rPr>
          <w:rFonts w:ascii="Times New Roman" w:hAnsi="Times New Roman" w:cs="Times New Roman"/>
          <w:color w:val="000000" w:themeColor="text1"/>
        </w:rPr>
        <w:t>, a c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onventional </w:t>
      </w:r>
      <w:r w:rsidR="000C6B5B" w:rsidRPr="00964551">
        <w:rPr>
          <w:rFonts w:ascii="Times New Roman" w:hAnsi="Times New Roman" w:cs="Times New Roman"/>
          <w:color w:val="000000" w:themeColor="text1"/>
        </w:rPr>
        <w:t>prosthetic heel lift, and each heel lift type (TPU or c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onventional) combined with a foam insole commonly </w:t>
      </w:r>
      <w:r w:rsidR="009D07EC">
        <w:rPr>
          <w:rFonts w:ascii="Times New Roman" w:hAnsi="Times New Roman" w:cs="Times New Roman"/>
          <w:color w:val="000000" w:themeColor="text1"/>
        </w:rPr>
        <w:t xml:space="preserve">used 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with prosthetic heel lifts. </w:t>
      </w:r>
      <w:r w:rsidR="000C6B5B" w:rsidRPr="00964551">
        <w:rPr>
          <w:rFonts w:ascii="Times New Roman" w:hAnsi="Times New Roman" w:cs="Times New Roman"/>
          <w:color w:val="000000" w:themeColor="text1"/>
        </w:rPr>
        <w:t>The samples were compressed for 15 trials at a speed of 25 mm per minute to ensure that the testing could be considered static</w:t>
      </w:r>
      <w:r w:rsidR="00113413" w:rsidRPr="00964551">
        <w:rPr>
          <w:rFonts w:ascii="Times New Roman" w:hAnsi="Times New Roman" w:cs="Times New Roman"/>
          <w:color w:val="000000" w:themeColor="text1"/>
        </w:rPr>
        <w:t>, and the force tester was modified to allow the materials to be compressed at a 30° angle, resulting in both compressive and shear forces being applied. The compression, shear, and total energy absorption was found for each material tested and the means of each were compared.</w:t>
      </w:r>
    </w:p>
    <w:p w14:paraId="7A4B5D71" w14:textId="77777777" w:rsidR="00B4034D" w:rsidRPr="00964551" w:rsidRDefault="00B4034D" w:rsidP="004E2FA2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64D0D8FE" w14:textId="3526E2CF" w:rsidR="00274DA5" w:rsidRPr="00964551" w:rsidRDefault="00913248" w:rsidP="00274DA5">
      <w:pPr>
        <w:rPr>
          <w:rFonts w:ascii="Times New Roman" w:hAnsi="Times New Roman" w:cs="Times New Roman"/>
          <w:color w:val="000000" w:themeColor="text1"/>
          <w:lang w:val="en-US"/>
        </w:rPr>
      </w:pPr>
      <w:r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RESULTS: </w:t>
      </w:r>
      <w:r w:rsidR="00274DA5" w:rsidRPr="00964551">
        <w:rPr>
          <w:rFonts w:ascii="Times New Roman" w:hAnsi="Times New Roman" w:cs="Times New Roman"/>
          <w:color w:val="000000" w:themeColor="text1"/>
          <w:lang w:val="en-US"/>
        </w:rPr>
        <w:t>When comparing the conventional heel lift with the T</w:t>
      </w:r>
      <w:r w:rsidR="00113413" w:rsidRPr="00964551">
        <w:rPr>
          <w:rFonts w:ascii="Times New Roman" w:hAnsi="Times New Roman" w:cs="Times New Roman"/>
          <w:color w:val="000000" w:themeColor="text1"/>
          <w:lang w:val="en-US"/>
        </w:rPr>
        <w:t>PU heel lift</w:t>
      </w:r>
      <w:r w:rsidR="00274DA5" w:rsidRPr="00964551">
        <w:rPr>
          <w:rFonts w:ascii="Times New Roman" w:hAnsi="Times New Roman" w:cs="Times New Roman"/>
          <w:color w:val="000000" w:themeColor="text1"/>
          <w:lang w:val="en-US"/>
        </w:rPr>
        <w:t>, the TPU heel lift</w:t>
      </w:r>
      <w:r w:rsidR="00113413" w:rsidRPr="00964551">
        <w:rPr>
          <w:rFonts w:ascii="Times New Roman" w:hAnsi="Times New Roman" w:cs="Times New Roman"/>
          <w:color w:val="000000" w:themeColor="text1"/>
          <w:lang w:val="en-US"/>
        </w:rPr>
        <w:t xml:space="preserve"> absorbed </w:t>
      </w:r>
      <w:r w:rsidR="00274DA5" w:rsidRPr="00964551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113413" w:rsidRPr="00964551">
        <w:rPr>
          <w:rFonts w:ascii="Times New Roman" w:hAnsi="Times New Roman" w:cs="Times New Roman"/>
          <w:color w:val="000000" w:themeColor="text1"/>
          <w:lang w:val="en-US"/>
        </w:rPr>
        <w:t xml:space="preserve">highest meant percent of </w:t>
      </w:r>
      <w:r w:rsidR="00274DA5" w:rsidRPr="00964551">
        <w:rPr>
          <w:rFonts w:ascii="Times New Roman" w:hAnsi="Times New Roman" w:cs="Times New Roman"/>
          <w:color w:val="000000" w:themeColor="text1"/>
          <w:lang w:val="en-US"/>
        </w:rPr>
        <w:t>shear (M=37.8%), compressive (M=54.6%) and total (M=48.2%) energy (see Figure 1). When comparing the conventional heel lift combined with a foam insole and the conventional heel lift combined with a TPU insole, the conventional heel with the TPU insole absorbed the highest mean percent of shear (M=27.2%), compressive (M=35.7%) and total (M=32.4%) energy (see Figure 2). When comparing the conventional heel lift combined with a foam insole and the TPU heel lift combined with a foam insole, the TPU heel with the foam insole absorbed the highest mean percent of shear (M=26.1%), compressive (M=32.3%) and total (M=30.1%) energy (see Figure 3).</w:t>
      </w:r>
    </w:p>
    <w:p w14:paraId="2FD7FAFD" w14:textId="77777777" w:rsidR="009C3A18" w:rsidRPr="00964551" w:rsidRDefault="009C3A18" w:rsidP="00274DA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A6F2D71" w14:textId="462F43AF" w:rsidR="009C3A18" w:rsidRPr="00964551" w:rsidRDefault="009C3A18" w:rsidP="009B0AC4">
      <w:pPr>
        <w:rPr>
          <w:noProof/>
          <w:sz w:val="28"/>
          <w:szCs w:val="28"/>
        </w:rPr>
      </w:pPr>
      <w:r w:rsidRPr="00964551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420669AD" wp14:editId="576F8574">
            <wp:extent cx="3206338" cy="1661721"/>
            <wp:effectExtent l="0" t="0" r="6985" b="1524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EFA0C2DD-FCB1-C24C-93C5-F033333CA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DF80CD0" w14:textId="66FDAEDA" w:rsidR="009C3A18" w:rsidRDefault="00684847" w:rsidP="009B0AC4">
      <w:pPr>
        <w:rPr>
          <w:rFonts w:ascii="Times New Roman" w:hAnsi="Times New Roman" w:cs="Times New Roman"/>
          <w:noProof/>
        </w:rPr>
      </w:pPr>
      <w:r w:rsidRPr="00964551">
        <w:rPr>
          <w:rFonts w:ascii="Times New Roman" w:hAnsi="Times New Roman" w:cs="Times New Roman"/>
          <w:i/>
          <w:iCs/>
          <w:noProof/>
        </w:rPr>
        <w:t xml:space="preserve">Figure 1. </w:t>
      </w:r>
      <w:r w:rsidRPr="00964551">
        <w:rPr>
          <w:rFonts w:ascii="Times New Roman" w:hAnsi="Times New Roman" w:cs="Times New Roman"/>
          <w:noProof/>
        </w:rPr>
        <w:t xml:space="preserve">Mean </w:t>
      </w:r>
      <w:r w:rsidR="00B4034D" w:rsidRPr="00964551">
        <w:rPr>
          <w:rFonts w:ascii="Times New Roman" w:hAnsi="Times New Roman" w:cs="Times New Roman"/>
          <w:noProof/>
        </w:rPr>
        <w:t>e</w:t>
      </w:r>
      <w:r w:rsidRPr="00964551">
        <w:rPr>
          <w:rFonts w:ascii="Times New Roman" w:hAnsi="Times New Roman" w:cs="Times New Roman"/>
          <w:noProof/>
        </w:rPr>
        <w:t xml:space="preserve">nergy </w:t>
      </w:r>
      <w:r w:rsidR="00B4034D" w:rsidRPr="00964551">
        <w:rPr>
          <w:rFonts w:ascii="Times New Roman" w:hAnsi="Times New Roman" w:cs="Times New Roman"/>
          <w:noProof/>
        </w:rPr>
        <w:t>a</w:t>
      </w:r>
      <w:r w:rsidRPr="00964551">
        <w:rPr>
          <w:rFonts w:ascii="Times New Roman" w:hAnsi="Times New Roman" w:cs="Times New Roman"/>
          <w:noProof/>
        </w:rPr>
        <w:t xml:space="preserve">bsorption for a TPU </w:t>
      </w:r>
      <w:r w:rsidR="00B4034D" w:rsidRPr="00964551">
        <w:rPr>
          <w:rFonts w:ascii="Times New Roman" w:hAnsi="Times New Roman" w:cs="Times New Roman"/>
          <w:noProof/>
        </w:rPr>
        <w:t>h</w:t>
      </w:r>
      <w:r w:rsidRPr="00964551">
        <w:rPr>
          <w:rFonts w:ascii="Times New Roman" w:hAnsi="Times New Roman" w:cs="Times New Roman"/>
          <w:noProof/>
        </w:rPr>
        <w:t xml:space="preserve">eel versus a </w:t>
      </w:r>
      <w:r w:rsidR="00B4034D" w:rsidRPr="00964551">
        <w:rPr>
          <w:rFonts w:ascii="Times New Roman" w:hAnsi="Times New Roman" w:cs="Times New Roman"/>
          <w:noProof/>
        </w:rPr>
        <w:t>co</w:t>
      </w:r>
      <w:r w:rsidRPr="00964551">
        <w:rPr>
          <w:rFonts w:ascii="Times New Roman" w:hAnsi="Times New Roman" w:cs="Times New Roman"/>
          <w:noProof/>
        </w:rPr>
        <w:t xml:space="preserve">nventional </w:t>
      </w:r>
      <w:r w:rsidR="00EE6ECB" w:rsidRPr="00964551">
        <w:rPr>
          <w:rFonts w:ascii="Times New Roman" w:hAnsi="Times New Roman" w:cs="Times New Roman"/>
          <w:noProof/>
        </w:rPr>
        <w:t>h</w:t>
      </w:r>
      <w:r w:rsidRPr="00964551">
        <w:rPr>
          <w:rFonts w:ascii="Times New Roman" w:hAnsi="Times New Roman" w:cs="Times New Roman"/>
          <w:noProof/>
        </w:rPr>
        <w:t>ee</w:t>
      </w:r>
      <w:r w:rsidR="009C3A18" w:rsidRPr="00964551">
        <w:rPr>
          <w:rFonts w:ascii="Times New Roman" w:hAnsi="Times New Roman" w:cs="Times New Roman"/>
          <w:noProof/>
        </w:rPr>
        <w:t>l</w:t>
      </w:r>
    </w:p>
    <w:p w14:paraId="2D29CAC5" w14:textId="77777777" w:rsidR="00964551" w:rsidRPr="00964551" w:rsidRDefault="00964551" w:rsidP="009B0AC4">
      <w:pPr>
        <w:rPr>
          <w:rFonts w:ascii="Times New Roman" w:hAnsi="Times New Roman" w:cs="Times New Roman"/>
          <w:noProof/>
        </w:rPr>
      </w:pPr>
    </w:p>
    <w:p w14:paraId="2D5E8F41" w14:textId="1E445F2D" w:rsidR="00684847" w:rsidRPr="00964551" w:rsidRDefault="009C3A18" w:rsidP="009B0AC4">
      <w:pPr>
        <w:rPr>
          <w:noProof/>
          <w:sz w:val="28"/>
          <w:szCs w:val="28"/>
        </w:rPr>
      </w:pPr>
      <w:r w:rsidRPr="00964551">
        <w:rPr>
          <w:noProof/>
          <w:sz w:val="28"/>
          <w:szCs w:val="28"/>
          <w:lang w:val="en-US"/>
        </w:rPr>
        <w:drawing>
          <wp:inline distT="0" distB="0" distL="0" distR="0" wp14:anchorId="3C6FC886" wp14:editId="0A7E6E6D">
            <wp:extent cx="3193366" cy="1765495"/>
            <wp:effectExtent l="0" t="0" r="7620" b="1270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6F77E402-A494-174B-BA65-9DF1B4729E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FB32EF" w14:textId="4998680E" w:rsidR="00684847" w:rsidRPr="00964551" w:rsidRDefault="00684847" w:rsidP="009B0AC4">
      <w:pPr>
        <w:rPr>
          <w:rFonts w:ascii="Times New Roman" w:hAnsi="Times New Roman" w:cs="Times New Roman"/>
          <w:noProof/>
        </w:rPr>
      </w:pPr>
      <w:r w:rsidRPr="00964551">
        <w:rPr>
          <w:rFonts w:ascii="Times New Roman" w:hAnsi="Times New Roman" w:cs="Times New Roman"/>
          <w:i/>
          <w:iCs/>
          <w:noProof/>
        </w:rPr>
        <w:t xml:space="preserve">Figure 2. </w:t>
      </w:r>
      <w:r w:rsidRPr="00964551">
        <w:rPr>
          <w:rFonts w:ascii="Times New Roman" w:hAnsi="Times New Roman" w:cs="Times New Roman"/>
          <w:noProof/>
        </w:rPr>
        <w:t xml:space="preserve">Mean (%) </w:t>
      </w:r>
      <w:r w:rsidR="00B4034D" w:rsidRPr="00964551">
        <w:rPr>
          <w:rFonts w:ascii="Times New Roman" w:hAnsi="Times New Roman" w:cs="Times New Roman"/>
          <w:noProof/>
        </w:rPr>
        <w:t>e</w:t>
      </w:r>
      <w:r w:rsidRPr="00964551">
        <w:rPr>
          <w:rFonts w:ascii="Times New Roman" w:hAnsi="Times New Roman" w:cs="Times New Roman"/>
          <w:noProof/>
        </w:rPr>
        <w:t xml:space="preserve">nergy </w:t>
      </w:r>
      <w:r w:rsidR="00B4034D" w:rsidRPr="00964551">
        <w:rPr>
          <w:rFonts w:ascii="Times New Roman" w:hAnsi="Times New Roman" w:cs="Times New Roman"/>
          <w:noProof/>
        </w:rPr>
        <w:t>a</w:t>
      </w:r>
      <w:r w:rsidRPr="00964551">
        <w:rPr>
          <w:rFonts w:ascii="Times New Roman" w:hAnsi="Times New Roman" w:cs="Times New Roman"/>
          <w:noProof/>
        </w:rPr>
        <w:t xml:space="preserve">bsorption for a </w:t>
      </w:r>
      <w:r w:rsidR="00605DBF">
        <w:rPr>
          <w:rFonts w:ascii="Times New Roman" w:hAnsi="Times New Roman" w:cs="Times New Roman"/>
          <w:noProof/>
        </w:rPr>
        <w:t>c</w:t>
      </w:r>
      <w:r w:rsidRPr="00964551">
        <w:rPr>
          <w:rFonts w:ascii="Times New Roman" w:hAnsi="Times New Roman" w:cs="Times New Roman"/>
          <w:noProof/>
        </w:rPr>
        <w:t xml:space="preserve">onventional heel with a conventional insole versus a </w:t>
      </w:r>
      <w:r w:rsidR="00B4034D" w:rsidRPr="00964551">
        <w:rPr>
          <w:rFonts w:ascii="Times New Roman" w:hAnsi="Times New Roman" w:cs="Times New Roman"/>
          <w:noProof/>
        </w:rPr>
        <w:t xml:space="preserve">conventional heel with a </w:t>
      </w:r>
      <w:r w:rsidRPr="00964551">
        <w:rPr>
          <w:rFonts w:ascii="Times New Roman" w:hAnsi="Times New Roman" w:cs="Times New Roman"/>
          <w:noProof/>
        </w:rPr>
        <w:t>TPU insole</w:t>
      </w:r>
    </w:p>
    <w:p w14:paraId="53A26821" w14:textId="18818BD0" w:rsidR="00684847" w:rsidRPr="00964551" w:rsidRDefault="00684847" w:rsidP="009B0AC4">
      <w:pPr>
        <w:rPr>
          <w:noProof/>
        </w:rPr>
      </w:pPr>
    </w:p>
    <w:p w14:paraId="00170B1A" w14:textId="40040994" w:rsidR="00684847" w:rsidRPr="00964551" w:rsidRDefault="00EE6ECB" w:rsidP="009B0AC4">
      <w:pPr>
        <w:rPr>
          <w:rFonts w:ascii="Times New Roman" w:hAnsi="Times New Roman" w:cs="Times New Roman"/>
          <w:noProof/>
        </w:rPr>
      </w:pPr>
      <w:r w:rsidRPr="00964551">
        <w:rPr>
          <w:noProof/>
          <w:sz w:val="28"/>
          <w:szCs w:val="28"/>
          <w:lang w:val="en-US"/>
        </w:rPr>
        <w:drawing>
          <wp:inline distT="0" distB="0" distL="0" distR="0" wp14:anchorId="33EB532E" wp14:editId="0A3DA41D">
            <wp:extent cx="3249637" cy="1575288"/>
            <wp:effectExtent l="0" t="0" r="1460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A9F8052-FAA1-0648-A5AC-33746C2803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AA528A" w14:textId="75F0507F" w:rsidR="00913248" w:rsidRPr="00964551" w:rsidRDefault="00684847" w:rsidP="00913248">
      <w:pPr>
        <w:rPr>
          <w:rFonts w:ascii="Times New Roman" w:hAnsi="Times New Roman" w:cs="Times New Roman"/>
          <w:noProof/>
        </w:rPr>
      </w:pPr>
      <w:r w:rsidRPr="00964551">
        <w:rPr>
          <w:rFonts w:ascii="Times New Roman" w:hAnsi="Times New Roman" w:cs="Times New Roman"/>
          <w:i/>
          <w:iCs/>
          <w:noProof/>
        </w:rPr>
        <w:t xml:space="preserve">Figure 3. </w:t>
      </w:r>
      <w:r w:rsidR="00B4034D" w:rsidRPr="00964551">
        <w:rPr>
          <w:rFonts w:ascii="Times New Roman" w:hAnsi="Times New Roman" w:cs="Times New Roman"/>
          <w:noProof/>
        </w:rPr>
        <w:t xml:space="preserve">Mean (%) energy absorption for a conventional heel with a conventional insole versus a TPU heel combined with a conventional </w:t>
      </w:r>
      <w:r w:rsidR="00274DA5" w:rsidRPr="00964551">
        <w:rPr>
          <w:rFonts w:ascii="Times New Roman" w:hAnsi="Times New Roman" w:cs="Times New Roman"/>
          <w:noProof/>
        </w:rPr>
        <w:t>i</w:t>
      </w:r>
      <w:r w:rsidR="00B4034D" w:rsidRPr="00964551">
        <w:rPr>
          <w:rFonts w:ascii="Times New Roman" w:hAnsi="Times New Roman" w:cs="Times New Roman"/>
          <w:noProof/>
        </w:rPr>
        <w:t>nsol</w:t>
      </w:r>
      <w:r w:rsidR="00274DA5" w:rsidRPr="00964551">
        <w:rPr>
          <w:rFonts w:ascii="Times New Roman" w:hAnsi="Times New Roman" w:cs="Times New Roman"/>
          <w:noProof/>
        </w:rPr>
        <w:t>e</w:t>
      </w:r>
    </w:p>
    <w:p w14:paraId="72FEDCE9" w14:textId="77777777" w:rsidR="009C3A18" w:rsidRPr="00964551" w:rsidRDefault="009C3A18" w:rsidP="00913248">
      <w:pPr>
        <w:rPr>
          <w:rFonts w:ascii="Times New Roman" w:hAnsi="Times New Roman" w:cs="Times New Roman"/>
          <w:color w:val="000000" w:themeColor="text1"/>
        </w:rPr>
      </w:pPr>
    </w:p>
    <w:p w14:paraId="3E152D04" w14:textId="3D7B0BAD" w:rsidR="00523A32" w:rsidRDefault="00913248" w:rsidP="00EA775D">
      <w:pPr>
        <w:rPr>
          <w:rFonts w:ascii="Arial" w:hAnsi="Arial" w:cs="Arial"/>
          <w:color w:val="2F5496" w:themeColor="accent1" w:themeShade="BF"/>
          <w:sz w:val="36"/>
          <w:lang w:val="en-US"/>
        </w:rPr>
      </w:pPr>
      <w:r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>CONCLUSION:</w:t>
      </w:r>
      <w:r w:rsidR="000E630C" w:rsidRPr="0096455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523A32">
        <w:rPr>
          <w:rFonts w:ascii="Times New Roman" w:hAnsi="Times New Roman" w:cs="Times New Roman"/>
          <w:color w:val="000000" w:themeColor="text1"/>
          <w:lang w:val="en-US"/>
        </w:rPr>
        <w:t>The r</w:t>
      </w:r>
      <w:r w:rsidR="009C3A18" w:rsidRPr="00964551">
        <w:rPr>
          <w:rFonts w:ascii="Times New Roman" w:hAnsi="Times New Roman" w:cs="Times New Roman"/>
          <w:color w:val="000000" w:themeColor="text1"/>
          <w:lang w:val="en-US"/>
        </w:rPr>
        <w:t xml:space="preserve">esults of this preliminary research show that </w:t>
      </w:r>
      <w:r w:rsidR="00840697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9C3A18" w:rsidRPr="00964551">
        <w:rPr>
          <w:rFonts w:ascii="Times New Roman" w:hAnsi="Times New Roman" w:cs="Times New Roman"/>
          <w:color w:val="000000" w:themeColor="text1"/>
          <w:lang w:val="en-US"/>
        </w:rPr>
        <w:t xml:space="preserve">TPU </w:t>
      </w:r>
      <w:r w:rsidR="00840697">
        <w:rPr>
          <w:rFonts w:ascii="Times New Roman" w:hAnsi="Times New Roman" w:cs="Times New Roman"/>
          <w:color w:val="000000" w:themeColor="text1"/>
          <w:lang w:val="en-US"/>
        </w:rPr>
        <w:t xml:space="preserve">material </w:t>
      </w:r>
      <w:r w:rsidR="009C3A18" w:rsidRPr="00964551">
        <w:rPr>
          <w:rFonts w:ascii="Times New Roman" w:hAnsi="Times New Roman" w:cs="Times New Roman"/>
          <w:color w:val="000000" w:themeColor="text1"/>
          <w:lang w:val="en-US"/>
        </w:rPr>
        <w:t>has the potential to replace either a conventional heel lift or conventional foam insole that are commonly used by amputees</w:t>
      </w:r>
      <w:r w:rsidR="00840697">
        <w:rPr>
          <w:rFonts w:ascii="Times New Roman" w:hAnsi="Times New Roman" w:cs="Times New Roman"/>
          <w:color w:val="000000" w:themeColor="text1"/>
          <w:lang w:val="en-US"/>
        </w:rPr>
        <w:t xml:space="preserve"> with their prosthetic devices</w:t>
      </w:r>
      <w:r w:rsidR="009C3A18" w:rsidRPr="0096455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523A32">
        <w:rPr>
          <w:rFonts w:ascii="Times New Roman" w:hAnsi="Times New Roman" w:cs="Times New Roman"/>
          <w:color w:val="000000" w:themeColor="text1"/>
          <w:lang w:val="en-US"/>
        </w:rPr>
        <w:t>More specifically, t</w:t>
      </w:r>
      <w:r w:rsidR="00840697">
        <w:rPr>
          <w:rFonts w:ascii="Times New Roman" w:hAnsi="Times New Roman" w:cs="Times New Roman"/>
          <w:color w:val="000000" w:themeColor="text1"/>
          <w:lang w:val="en-US"/>
        </w:rPr>
        <w:t>his outcome highlights the potential use of the TPU material for future research with humans to examine its capability to absorb</w:t>
      </w:r>
      <w:r w:rsidR="009C3A18" w:rsidRPr="00964551">
        <w:rPr>
          <w:rFonts w:ascii="Times New Roman" w:hAnsi="Times New Roman" w:cs="Times New Roman"/>
          <w:color w:val="000000" w:themeColor="text1"/>
          <w:lang w:val="en-US"/>
        </w:rPr>
        <w:t xml:space="preserve"> energy </w:t>
      </w:r>
      <w:r w:rsidR="00840697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840697" w:rsidRPr="00964551">
        <w:rPr>
          <w:rFonts w:ascii="Times New Roman" w:hAnsi="Times New Roman" w:cs="Times New Roman"/>
          <w:color w:val="000000" w:themeColor="text1"/>
          <w:lang w:val="en-US"/>
        </w:rPr>
        <w:t>attenuate</w:t>
      </w:r>
      <w:r w:rsidR="00523A32">
        <w:rPr>
          <w:rFonts w:ascii="Times New Roman" w:hAnsi="Times New Roman" w:cs="Times New Roman"/>
          <w:color w:val="000000" w:themeColor="text1"/>
          <w:lang w:val="en-US"/>
        </w:rPr>
        <w:t xml:space="preserve"> transient</w:t>
      </w:r>
      <w:r w:rsidR="00840697" w:rsidRPr="00964551">
        <w:rPr>
          <w:rFonts w:ascii="Times New Roman" w:hAnsi="Times New Roman" w:cs="Times New Roman"/>
          <w:color w:val="000000" w:themeColor="text1"/>
          <w:lang w:val="en-US"/>
        </w:rPr>
        <w:t xml:space="preserve"> forces in amputee populations</w:t>
      </w:r>
      <w:r w:rsidR="00523A32">
        <w:rPr>
          <w:rFonts w:ascii="Times New Roman" w:hAnsi="Times New Roman" w:cs="Times New Roman"/>
          <w:color w:val="000000" w:themeColor="text1"/>
          <w:lang w:val="en-US"/>
        </w:rPr>
        <w:t xml:space="preserve"> to decrease the risk of injury</w:t>
      </w:r>
      <w:r w:rsidR="00840697" w:rsidRPr="00964551">
        <w:rPr>
          <w:rFonts w:ascii="Times New Roman" w:hAnsi="Times New Roman" w:cs="Times New Roman"/>
          <w:color w:val="000000" w:themeColor="text1"/>
          <w:lang w:val="en-US"/>
        </w:rPr>
        <w:t xml:space="preserve"> without disrupting </w:t>
      </w:r>
      <w:r w:rsidR="00523A32">
        <w:rPr>
          <w:rFonts w:ascii="Times New Roman" w:hAnsi="Times New Roman" w:cs="Times New Roman"/>
          <w:color w:val="000000" w:themeColor="text1"/>
          <w:lang w:val="en-US"/>
        </w:rPr>
        <w:t xml:space="preserve">their </w:t>
      </w:r>
      <w:r w:rsidR="00840697" w:rsidRPr="00964551">
        <w:rPr>
          <w:rFonts w:ascii="Times New Roman" w:hAnsi="Times New Roman" w:cs="Times New Roman"/>
          <w:color w:val="000000" w:themeColor="text1"/>
          <w:lang w:val="en-US"/>
        </w:rPr>
        <w:t>gait mechanics</w:t>
      </w:r>
      <w:r w:rsidR="00523A3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113413" w:rsidRPr="00964551">
        <w:rPr>
          <w:rFonts w:ascii="Times New Roman" w:hAnsi="Times New Roman" w:cs="Times New Roman"/>
          <w:color w:val="000000" w:themeColor="text1"/>
        </w:rPr>
        <w:t>This information will allow clinicians to</w:t>
      </w:r>
      <w:r w:rsidR="00523A32">
        <w:rPr>
          <w:rFonts w:ascii="Times New Roman" w:hAnsi="Times New Roman" w:cs="Times New Roman"/>
          <w:color w:val="000000" w:themeColor="text1"/>
        </w:rPr>
        <w:t xml:space="preserve"> provide solutions for transtibial amputees </w:t>
      </w:r>
      <w:r w:rsidR="007B057C">
        <w:rPr>
          <w:rFonts w:ascii="Times New Roman" w:hAnsi="Times New Roman" w:cs="Times New Roman"/>
          <w:color w:val="000000" w:themeColor="text1"/>
        </w:rPr>
        <w:t>that are</w:t>
      </w:r>
      <w:r w:rsidR="00523A32">
        <w:rPr>
          <w:rFonts w:ascii="Times New Roman" w:hAnsi="Times New Roman" w:cs="Times New Roman"/>
          <w:color w:val="000000" w:themeColor="text1"/>
        </w:rPr>
        <w:t xml:space="preserve"> low cost </w:t>
      </w:r>
      <w:r w:rsidR="007B057C">
        <w:rPr>
          <w:rFonts w:ascii="Times New Roman" w:hAnsi="Times New Roman" w:cs="Times New Roman"/>
          <w:color w:val="000000" w:themeColor="text1"/>
        </w:rPr>
        <w:t>and</w:t>
      </w:r>
      <w:r w:rsidR="00523A32">
        <w:rPr>
          <w:rFonts w:ascii="Times New Roman" w:hAnsi="Times New Roman" w:cs="Times New Roman"/>
          <w:color w:val="000000" w:themeColor="text1"/>
        </w:rPr>
        <w:t xml:space="preserve"> improve their walking symmetry.</w:t>
      </w:r>
      <w:r w:rsidR="00113413" w:rsidRPr="00964551">
        <w:rPr>
          <w:rFonts w:ascii="Times New Roman" w:hAnsi="Times New Roman" w:cs="Times New Roman"/>
          <w:color w:val="000000" w:themeColor="text1"/>
        </w:rPr>
        <w:t xml:space="preserve"> </w:t>
      </w:r>
    </w:p>
    <w:p w14:paraId="4EA06C97" w14:textId="77777777" w:rsidR="00D453B5" w:rsidRDefault="00EA775D" w:rsidP="00EA775D"/>
    <w:sectPr w:rsidR="00D45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D9D"/>
    <w:multiLevelType w:val="hybridMultilevel"/>
    <w:tmpl w:val="3A0C3416"/>
    <w:lvl w:ilvl="0" w:tplc="18D615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702"/>
    <w:multiLevelType w:val="hybridMultilevel"/>
    <w:tmpl w:val="0CBCC91A"/>
    <w:lvl w:ilvl="0" w:tplc="C016A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5EB"/>
    <w:multiLevelType w:val="hybridMultilevel"/>
    <w:tmpl w:val="101423D0"/>
    <w:lvl w:ilvl="0" w:tplc="C016A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1ED2"/>
    <w:multiLevelType w:val="hybridMultilevel"/>
    <w:tmpl w:val="549A2AAC"/>
    <w:lvl w:ilvl="0" w:tplc="CB4009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026C"/>
    <w:multiLevelType w:val="multilevel"/>
    <w:tmpl w:val="2E1A0B30"/>
    <w:styleLink w:val="CurrentList1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6765D"/>
    <w:multiLevelType w:val="hybridMultilevel"/>
    <w:tmpl w:val="C616C15E"/>
    <w:lvl w:ilvl="0" w:tplc="ACFA83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44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75DA"/>
    <w:multiLevelType w:val="hybridMultilevel"/>
    <w:tmpl w:val="D8745ADE"/>
    <w:lvl w:ilvl="0" w:tplc="C016A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8085E"/>
    <w:multiLevelType w:val="hybridMultilevel"/>
    <w:tmpl w:val="5A8637F4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B0"/>
    <w:rsid w:val="00063DB0"/>
    <w:rsid w:val="000C6B5B"/>
    <w:rsid w:val="000E630C"/>
    <w:rsid w:val="00113413"/>
    <w:rsid w:val="00174419"/>
    <w:rsid w:val="001B2F2B"/>
    <w:rsid w:val="00274DA5"/>
    <w:rsid w:val="003E7C16"/>
    <w:rsid w:val="004E2FA2"/>
    <w:rsid w:val="00523A32"/>
    <w:rsid w:val="005B2B1B"/>
    <w:rsid w:val="00605DBF"/>
    <w:rsid w:val="00653BCC"/>
    <w:rsid w:val="00684847"/>
    <w:rsid w:val="006D67B0"/>
    <w:rsid w:val="00745E23"/>
    <w:rsid w:val="00764262"/>
    <w:rsid w:val="007B057C"/>
    <w:rsid w:val="007C00D4"/>
    <w:rsid w:val="00840697"/>
    <w:rsid w:val="0084604C"/>
    <w:rsid w:val="008A1228"/>
    <w:rsid w:val="00913248"/>
    <w:rsid w:val="00964551"/>
    <w:rsid w:val="009B0AC4"/>
    <w:rsid w:val="009C3A18"/>
    <w:rsid w:val="009D07EC"/>
    <w:rsid w:val="00B15C4E"/>
    <w:rsid w:val="00B4034D"/>
    <w:rsid w:val="00B85786"/>
    <w:rsid w:val="00C9479B"/>
    <w:rsid w:val="00D21C17"/>
    <w:rsid w:val="00E678C1"/>
    <w:rsid w:val="00EA775D"/>
    <w:rsid w:val="00ED74BF"/>
    <w:rsid w:val="00EE6ECB"/>
    <w:rsid w:val="00F22FD6"/>
    <w:rsid w:val="00F73CF7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2F88"/>
  <w15:chartTrackingRefBased/>
  <w15:docId w15:val="{A17CC0A6-D417-4149-8704-C9462C8D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B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6D67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qFormat/>
    <w:rsid w:val="006D67B0"/>
    <w:pPr>
      <w:ind w:left="720"/>
      <w:contextualSpacing/>
    </w:pPr>
    <w:rPr>
      <w:rFonts w:ascii="Times New Roman" w:eastAsia="Cambria" w:hAnsi="Times New Roman" w:cs="Times New Roman"/>
      <w:lang w:val="en-US"/>
    </w:rPr>
  </w:style>
  <w:style w:type="numbering" w:customStyle="1" w:styleId="CurrentList1">
    <w:name w:val="Current List1"/>
    <w:uiPriority w:val="99"/>
    <w:rsid w:val="006D67B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BF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B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eliaberry\Documents\DataSummary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eliaberry\Documents\DataSummary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eliaberry\Documents\DataSummary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 i="0" baseline="0">
                <a:effectLst/>
              </a:rPr>
              <a:t>Mean (%) Energy Absorption for TPU Heel and Conventional Heel</a:t>
            </a:r>
            <a:endParaRPr lang="en-CA" sz="900" b="1">
              <a:effectLst/>
            </a:endParaRPr>
          </a:p>
        </c:rich>
      </c:tx>
      <c:layout>
        <c:manualLayout>
          <c:xMode val="edge"/>
          <c:yMode val="edge"/>
          <c:x val="0.10016827219235741"/>
          <c:y val="3.238700667003778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479808116677038"/>
          <c:y val="0.17478569192612392"/>
          <c:w val="0.66494522423827451"/>
          <c:h val="0.64254996971532408"/>
        </c:manualLayout>
      </c:layout>
      <c:barChart>
        <c:barDir val="col"/>
        <c:grouping val="clustered"/>
        <c:varyColors val="0"/>
        <c:ser>
          <c:idx val="0"/>
          <c:order val="0"/>
          <c:tx>
            <c:v>Conventional Heel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'TPU v Heel'!$N$2:$P$2</c:f>
              <c:strCache>
                <c:ptCount val="3"/>
                <c:pt idx="0">
                  <c:v>Total</c:v>
                </c:pt>
                <c:pt idx="1">
                  <c:v>Compression</c:v>
                </c:pt>
                <c:pt idx="2">
                  <c:v>Shear</c:v>
                </c:pt>
              </c:strCache>
            </c:strRef>
          </c:cat>
          <c:val>
            <c:numRef>
              <c:f>'TPU v Heel'!$N$3:$P$3</c:f>
              <c:numCache>
                <c:formatCode>General</c:formatCode>
                <c:ptCount val="3"/>
                <c:pt idx="0">
                  <c:v>29.006146699999999</c:v>
                </c:pt>
                <c:pt idx="1">
                  <c:v>30.3470005</c:v>
                </c:pt>
                <c:pt idx="2">
                  <c:v>26.3015799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C-E44E-81F2-B5AE466E0BEC}"/>
            </c:ext>
          </c:extLst>
        </c:ser>
        <c:ser>
          <c:idx val="1"/>
          <c:order val="1"/>
          <c:tx>
            <c:v>TPU Heel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'TPU v Heel'!$N$2:$P$2</c:f>
              <c:strCache>
                <c:ptCount val="3"/>
                <c:pt idx="0">
                  <c:v>Total</c:v>
                </c:pt>
                <c:pt idx="1">
                  <c:v>Compression</c:v>
                </c:pt>
                <c:pt idx="2">
                  <c:v>Shear</c:v>
                </c:pt>
              </c:strCache>
            </c:strRef>
          </c:cat>
          <c:val>
            <c:numRef>
              <c:f>'TPU v Heel'!$N$4:$P$4</c:f>
              <c:numCache>
                <c:formatCode>General</c:formatCode>
                <c:ptCount val="3"/>
                <c:pt idx="0">
                  <c:v>48.2199782</c:v>
                </c:pt>
                <c:pt idx="1">
                  <c:v>54.5885435</c:v>
                </c:pt>
                <c:pt idx="2">
                  <c:v>37.809759900000003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7C-E44E-81F2-B5AE466E0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8632464"/>
        <c:axId val="2028634112"/>
      </c:barChart>
      <c:catAx>
        <c:axId val="2028632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/>
                  <a:t>Loading</a:t>
                </a:r>
                <a:r>
                  <a:rPr lang="en-US" sz="800" b="1" baseline="0"/>
                  <a:t> Force</a:t>
                </a:r>
                <a:endParaRPr lang="en-US" sz="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634112"/>
        <c:crosses val="autoZero"/>
        <c:auto val="1"/>
        <c:lblAlgn val="ctr"/>
        <c:lblOffset val="100"/>
        <c:noMultiLvlLbl val="0"/>
      </c:catAx>
      <c:valAx>
        <c:axId val="202863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/>
                  <a:t>Percent Energy Absorption</a:t>
                </a:r>
              </a:p>
            </c:rich>
          </c:tx>
          <c:layout>
            <c:manualLayout>
              <c:xMode val="edge"/>
              <c:yMode val="edge"/>
              <c:x val="1.5218259007946607E-3"/>
              <c:y val="0.125941400182120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63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510248384727311"/>
          <c:y val="0.2467378217631053"/>
          <c:w val="0.18905279442565223"/>
          <c:h val="0.30303342242770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 i="0" baseline="0">
                <a:effectLst/>
              </a:rPr>
              <a:t>Mean (%) Energy Absorption for Heel with Convetional Insole vs Heel with TPU Insole</a:t>
            </a:r>
            <a:endParaRPr lang="en-CA" sz="900">
              <a:effectLst/>
            </a:endParaRPr>
          </a:p>
        </c:rich>
      </c:tx>
      <c:layout>
        <c:manualLayout>
          <c:xMode val="edge"/>
          <c:yMode val="edge"/>
          <c:x val="0.13670753181168813"/>
          <c:y val="6.34891568786459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169808129592395"/>
          <c:y val="0.20616212541777601"/>
          <c:w val="0.6919715733623989"/>
          <c:h val="0.5934328442757606"/>
        </c:manualLayout>
      </c:layout>
      <c:barChart>
        <c:barDir val="col"/>
        <c:grouping val="clustered"/>
        <c:varyColors val="0"/>
        <c:ser>
          <c:idx val="0"/>
          <c:order val="0"/>
          <c:tx>
            <c:v>Conventional Insole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'Heelwtpu vs heelwinsole'!$L$5:$N$5</c:f>
              <c:strCache>
                <c:ptCount val="3"/>
                <c:pt idx="0">
                  <c:v>Total</c:v>
                </c:pt>
                <c:pt idx="1">
                  <c:v>Compression</c:v>
                </c:pt>
                <c:pt idx="2">
                  <c:v>Shear</c:v>
                </c:pt>
              </c:strCache>
            </c:strRef>
          </c:cat>
          <c:val>
            <c:numRef>
              <c:f>'Heelwtpu vs heelwinsole'!$L$6:$N$6</c:f>
              <c:numCache>
                <c:formatCode>General</c:formatCode>
                <c:ptCount val="3"/>
                <c:pt idx="0">
                  <c:v>29.9144118</c:v>
                </c:pt>
                <c:pt idx="1">
                  <c:v>31.8467734</c:v>
                </c:pt>
                <c:pt idx="2">
                  <c:v>25.898168099999999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B-F54B-9C0B-6189F606179D}"/>
            </c:ext>
          </c:extLst>
        </c:ser>
        <c:ser>
          <c:idx val="1"/>
          <c:order val="1"/>
          <c:tx>
            <c:v>TPU Insole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'Heelwtpu vs heelwinsole'!$L$5:$N$5</c:f>
              <c:strCache>
                <c:ptCount val="3"/>
                <c:pt idx="0">
                  <c:v>Total</c:v>
                </c:pt>
                <c:pt idx="1">
                  <c:v>Compression</c:v>
                </c:pt>
                <c:pt idx="2">
                  <c:v>Shear</c:v>
                </c:pt>
              </c:strCache>
            </c:strRef>
          </c:cat>
          <c:val>
            <c:numRef>
              <c:f>'Heelwtpu vs heelwinsole'!$L$7:$N$7</c:f>
              <c:numCache>
                <c:formatCode>General</c:formatCode>
                <c:ptCount val="3"/>
                <c:pt idx="0">
                  <c:v>32.438823800000002</c:v>
                </c:pt>
                <c:pt idx="1">
                  <c:v>35.718413699999999</c:v>
                </c:pt>
                <c:pt idx="2">
                  <c:v>27.221257300000001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B-F54B-9C0B-6189F6061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1091200"/>
        <c:axId val="2051714976"/>
      </c:barChart>
      <c:catAx>
        <c:axId val="2051091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/>
                  <a:t>Loading Forces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714976"/>
        <c:crosses val="autoZero"/>
        <c:auto val="1"/>
        <c:lblAlgn val="ctr"/>
        <c:lblOffset val="100"/>
        <c:noMultiLvlLbl val="0"/>
      </c:catAx>
      <c:valAx>
        <c:axId val="205171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/>
                  <a:t>Percent Energy Absorption</a:t>
                </a:r>
              </a:p>
            </c:rich>
          </c:tx>
          <c:layout>
            <c:manualLayout>
              <c:xMode val="edge"/>
              <c:yMode val="edge"/>
              <c:x val="3.4534167715909018E-3"/>
              <c:y val="0.135359428992239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0"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09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043961688559815"/>
          <c:y val="0.23434770294001017"/>
          <c:w val="0.21524568922555568"/>
          <c:h val="0.292669055902895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Mean (%) Energy Absorption for Conventional Heel with Insole vs TPU Heel with Insole</a:t>
            </a:r>
          </a:p>
        </c:rich>
      </c:tx>
      <c:layout>
        <c:manualLayout>
          <c:xMode val="edge"/>
          <c:yMode val="edge"/>
          <c:x val="0.107336244541484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06703249206021"/>
          <c:y val="0.21581115651682781"/>
          <c:w val="0.64888422789946021"/>
          <c:h val="0.57857587568995739"/>
        </c:manualLayout>
      </c:layout>
      <c:barChart>
        <c:barDir val="col"/>
        <c:grouping val="clustered"/>
        <c:varyColors val="0"/>
        <c:ser>
          <c:idx val="0"/>
          <c:order val="0"/>
          <c:tx>
            <c:v>Conventional Heel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'Beige5+Heel'!$H$6:$J$6</c:f>
              <c:strCache>
                <c:ptCount val="3"/>
                <c:pt idx="0">
                  <c:v>Total</c:v>
                </c:pt>
                <c:pt idx="1">
                  <c:v>Compression</c:v>
                </c:pt>
                <c:pt idx="2">
                  <c:v>Shear</c:v>
                </c:pt>
              </c:strCache>
            </c:strRef>
          </c:cat>
          <c:val>
            <c:numRef>
              <c:f>'Beige5+Heel'!$H$7:$J$7</c:f>
              <c:numCache>
                <c:formatCode>General</c:formatCode>
                <c:ptCount val="3"/>
                <c:pt idx="0">
                  <c:v>29.9144118</c:v>
                </c:pt>
                <c:pt idx="1">
                  <c:v>31.8467734</c:v>
                </c:pt>
                <c:pt idx="2">
                  <c:v>25.898168099999999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25-CC43-9F74-D6AB8A87DDEA}"/>
            </c:ext>
          </c:extLst>
        </c:ser>
        <c:ser>
          <c:idx val="1"/>
          <c:order val="1"/>
          <c:tx>
            <c:v>TPU Heel 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'Beige5+Heel'!$H$6:$J$6</c:f>
              <c:strCache>
                <c:ptCount val="3"/>
                <c:pt idx="0">
                  <c:v>Total</c:v>
                </c:pt>
                <c:pt idx="1">
                  <c:v>Compression</c:v>
                </c:pt>
                <c:pt idx="2">
                  <c:v>Shear</c:v>
                </c:pt>
              </c:strCache>
            </c:strRef>
          </c:cat>
          <c:val>
            <c:numRef>
              <c:f>'Beige5+Heel'!$H$8:$J$8</c:f>
              <c:numCache>
                <c:formatCode>General</c:formatCode>
                <c:ptCount val="3"/>
                <c:pt idx="0">
                  <c:v>30.149643300000001</c:v>
                </c:pt>
                <c:pt idx="1">
                  <c:v>32.315527400000001</c:v>
                </c:pt>
                <c:pt idx="2">
                  <c:v>26.132999900000002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25-CC43-9F74-D6AB8A87D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9669440"/>
        <c:axId val="2079647104"/>
      </c:barChart>
      <c:catAx>
        <c:axId val="1979669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/>
                  <a:t>Loading</a:t>
                </a:r>
                <a:r>
                  <a:rPr lang="en-US" sz="800" b="1" baseline="0"/>
                  <a:t> Force</a:t>
                </a:r>
                <a:endParaRPr lang="en-US" sz="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9647104"/>
        <c:crosses val="autoZero"/>
        <c:auto val="1"/>
        <c:lblAlgn val="ctr"/>
        <c:lblOffset val="100"/>
        <c:noMultiLvlLbl val="0"/>
      </c:catAx>
      <c:valAx>
        <c:axId val="207964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/>
                  <a:t>Percent Energy</a:t>
                </a:r>
                <a:r>
                  <a:rPr lang="en-US" sz="800" b="1" baseline="0"/>
                  <a:t> Absorption</a:t>
                </a:r>
                <a:endParaRPr lang="en-US" sz="800" b="1"/>
              </a:p>
            </c:rich>
          </c:tx>
          <c:layout>
            <c:manualLayout>
              <c:xMode val="edge"/>
              <c:yMode val="edge"/>
              <c:x val="7.7831858129905616E-4"/>
              <c:y val="0.250210970464135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966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095523798239307"/>
          <c:y val="0.25978346456692913"/>
          <c:w val="0.22474435237080082"/>
          <c:h val="0.26208857613728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Berry</dc:creator>
  <cp:keywords/>
  <dc:description/>
  <cp:lastModifiedBy>Brenda Magajna</cp:lastModifiedBy>
  <cp:revision>3</cp:revision>
  <cp:lastPrinted>2021-07-21T13:25:00Z</cp:lastPrinted>
  <dcterms:created xsi:type="dcterms:W3CDTF">2021-07-21T15:16:00Z</dcterms:created>
  <dcterms:modified xsi:type="dcterms:W3CDTF">2021-07-21T15:17:00Z</dcterms:modified>
</cp:coreProperties>
</file>